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540B0" w14:textId="77777777" w:rsidR="00CB4A85" w:rsidRDefault="00000000">
      <w:pPr>
        <w:pStyle w:val="Heading1"/>
      </w:pPr>
      <w:bookmarkStart w:id="0" w:name="X5402862c7b6382451d5939fd06a9d95408b7c3f"/>
      <w:r>
        <w:t>Quantifying Multi-Signal Quorum Sensing Defines the Mapping from Environment to Bacterial Regulatory Responses</w:t>
      </w:r>
    </w:p>
    <w:p w14:paraId="576F7282" w14:textId="77777777" w:rsidR="00CB4A85"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14:paraId="6988C582" w14:textId="77777777" w:rsidR="00CB4A85" w:rsidRDefault="00000000">
      <w:pPr>
        <w:pStyle w:val="Compact"/>
        <w:numPr>
          <w:ilvl w:val="0"/>
          <w:numId w:val="3"/>
        </w:numPr>
      </w:pPr>
      <w:r>
        <w:t>School of Biological Sciences, Georgia Institute of Technology, Atlanta, GA USA 30332.</w:t>
      </w:r>
    </w:p>
    <w:p w14:paraId="3F0DF5BA" w14:textId="77777777" w:rsidR="00CB4A85" w:rsidRDefault="00000000">
      <w:pPr>
        <w:pStyle w:val="Compact"/>
        <w:numPr>
          <w:ilvl w:val="0"/>
          <w:numId w:val="3"/>
        </w:numPr>
      </w:pPr>
      <w:r>
        <w:t>Department of Microbiology, Faculty of Agriculture, Cairo University, Giza 12613, Egypt.</w:t>
      </w:r>
    </w:p>
    <w:p w14:paraId="1598B0D2" w14:textId="77777777" w:rsidR="00CB4A85" w:rsidRDefault="00000000">
      <w:pPr>
        <w:pStyle w:val="Compact"/>
        <w:numPr>
          <w:ilvl w:val="0"/>
          <w:numId w:val="3"/>
        </w:numPr>
      </w:pPr>
      <w:r>
        <w:t>Department of Biology, College of Arts and Sciences, Georgia State University, Atlanta, GA USA 30303.</w:t>
      </w:r>
    </w:p>
    <w:p w14:paraId="1DC4305F" w14:textId="77777777" w:rsidR="00CB4A85" w:rsidRDefault="00000000">
      <w:pPr>
        <w:pStyle w:val="Compact"/>
        <w:numPr>
          <w:ilvl w:val="0"/>
          <w:numId w:val="3"/>
        </w:numPr>
      </w:pPr>
      <w:r>
        <w:t>Present address: Sandia National Laboratories, Albuquerque, NM, USA.</w:t>
      </w:r>
    </w:p>
    <w:p w14:paraId="0A807C50" w14:textId="77777777" w:rsidR="00CB4A85"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bacterial stationary phase density, and find close quantitative agreement with an independent dataset. Finally, we use our parameterized model to </w:t>
      </w:r>
      <w:r>
        <w:lastRenderedPageBreak/>
        <w:t>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14:paraId="7E2DCDB1" w14:textId="77777777" w:rsidR="00CB4A85" w:rsidRDefault="00000000">
      <w:pPr>
        <w:pStyle w:val="Heading3"/>
      </w:pPr>
      <w:bookmarkStart w:id="1" w:name="significance-statement"/>
      <w:r>
        <w:t>Significance Statement</w:t>
      </w:r>
    </w:p>
    <w:p w14:paraId="3E390E31" w14:textId="77777777" w:rsidR="00CB4A85"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14:paraId="2DE23043" w14:textId="77777777" w:rsidR="00CB4A85" w:rsidRDefault="00000000">
      <w:pPr>
        <w:pStyle w:val="Heading2"/>
      </w:pPr>
      <w:bookmarkStart w:id="2" w:name="introduction"/>
      <w:bookmarkEnd w:id="1"/>
      <w:r>
        <w:t>Introduction</w:t>
      </w:r>
    </w:p>
    <w:p w14:paraId="59625899" w14:textId="77777777" w:rsidR="00CB4A85"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w:t>
      </w:r>
      <w:r>
        <w:lastRenderedPageBreak/>
        <w:t>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14:paraId="2CEDD2C1" w14:textId="77777777" w:rsidR="00CB4A85"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14:paraId="3ABB028A" w14:textId="77777777" w:rsidR="00CB4A85"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w:t>
      </w:r>
      <w:r>
        <w:lastRenderedPageBreak/>
        <w:t xml:space="preserve">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one QS system exerts an influence on the other, but the second has no effect on the first. Finally,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14:paraId="335D4C77" w14:textId="77777777" w:rsidR="00CB4A85" w:rsidRDefault="00000000">
      <w:pPr>
        <w:pStyle w:val="CaptionedFigure"/>
      </w:pPr>
      <w:bookmarkStart w:id="3" w:name="fig:architectures"/>
      <w:r>
        <w:rPr>
          <w:noProof/>
        </w:rPr>
        <w:drawing>
          <wp:inline distT="0" distB="0" distL="0" distR="0" wp14:anchorId="080F32A2" wp14:editId="4A162BE5">
            <wp:extent cx="5238750" cy="3810000"/>
            <wp:effectExtent l="0" t="0" r="0" b="0"/>
            <wp:docPr id="22" name="Picture" descr="Figure 1: architectures"/>
            <wp:cNvGraphicFramePr/>
            <a:graphic xmlns:a="http://schemas.openxmlformats.org/drawingml/2006/main">
              <a:graphicData uri="http://schemas.openxmlformats.org/drawingml/2006/picture">
                <pic:pic xmlns:pic="http://schemas.openxmlformats.org/drawingml/2006/picture">
                  <pic:nvPicPr>
                    <pic:cNvPr id="23"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3"/>
    <w:p w14:paraId="680B1712" w14:textId="77777777" w:rsidR="00CB4A85"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w:t>
      </w:r>
      <w:r>
        <w:lastRenderedPageBreak/>
        <w:t xml:space="preserve">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w:t>
      </w:r>
    </w:p>
    <w:p w14:paraId="0C80E9DB" w14:textId="77777777" w:rsidR="00CB4A85"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Notably, in a strict hierarchy, the </w:t>
      </w:r>
      <w:r>
        <w:rPr>
          <w:i/>
          <w:iCs/>
        </w:rPr>
        <w:t>rhl</w:t>
      </w:r>
      <w:r>
        <w:t xml:space="preserve"> system exerts no influence on the </w:t>
      </w:r>
      <w:r>
        <w:rPr>
          <w:i/>
          <w:iCs/>
        </w:rPr>
        <w:t>las</w:t>
      </w:r>
      <w:r>
        <w:t xml:space="preserve"> system. We confirm this consensus perspective via a structured literature search of review articles (Tables S.1 and S.2). All papers show the </w:t>
      </w:r>
      <w:r>
        <w:rPr>
          <w:i/>
          <w:iCs/>
        </w:rPr>
        <w:t>las</w:t>
      </w:r>
      <w:r>
        <w:t xml:space="preserve"> system affecting the </w:t>
      </w:r>
      <w:r>
        <w:rPr>
          <w:i/>
          <w:iCs/>
        </w:rPr>
        <w:t>rhl</w:t>
      </w:r>
      <w:r>
        <w:t xml:space="preserve"> system, but none identify the </w:t>
      </w:r>
      <w:r>
        <w:rPr>
          <w:i/>
          <w:iCs/>
        </w:rPr>
        <w:t>las</w:t>
      </w:r>
      <w:r>
        <w:t xml:space="preserve"> synthase or receptor gene as a target of the </w:t>
      </w:r>
      <w:r>
        <w:rPr>
          <w:i/>
          <w:iCs/>
        </w:rPr>
        <w:t>rhl</w:t>
      </w:r>
      <w:r>
        <w:t xml:space="preserve"> system. Despite its prevalence, the hierarchical architecture fails to capture key characteristics of the </w:t>
      </w:r>
      <w:r>
        <w:rPr>
          <w:i/>
          <w:iCs/>
        </w:rPr>
        <w:t>P. aeruginosa</w:t>
      </w:r>
      <w:r>
        <w:t xml:space="preserve"> QS systems. For example, several studies demonstrate that the </w:t>
      </w:r>
      <w:r>
        <w:rPr>
          <w:i/>
          <w:iCs/>
        </w:rPr>
        <w:t>rhl</w:t>
      </w:r>
      <w:r>
        <w:t xml:space="preserve"> system can self-activate even when the “top of the hierarchy” </w:t>
      </w:r>
      <w:r>
        <w:rPr>
          <w:i/>
          <w:iCs/>
        </w:rPr>
        <w:t>lasR</w:t>
      </w:r>
      <w:r>
        <w:t xml:space="preserve"> gene is deleted (15, 16). Further shortcomings could arise if the </w:t>
      </w:r>
      <w:r>
        <w:rPr>
          <w:i/>
          <w:iCs/>
        </w:rPr>
        <w:t>las</w:t>
      </w:r>
      <w:r>
        <w:t xml:space="preserve"> system’s isolation from </w:t>
      </w:r>
      <w:r>
        <w:rPr>
          <w:i/>
          <w:iCs/>
        </w:rPr>
        <w:t>rhl</w:t>
      </w:r>
      <w:r>
        <w:t xml:space="preserve"> was compromised. If </w:t>
      </w:r>
      <w:r>
        <w:rPr>
          <w:i/>
          <w:iCs/>
        </w:rPr>
        <w:t>lasI</w:t>
      </w:r>
      <w:r>
        <w:t xml:space="preserve"> or </w:t>
      </w:r>
      <w:r>
        <w:rPr>
          <w:i/>
          <w:iCs/>
        </w:rPr>
        <w:t>lasR</w:t>
      </w:r>
      <w:r>
        <w:t xml:space="preserve"> respond to the </w:t>
      </w:r>
      <w:r>
        <w:rPr>
          <w:i/>
          <w:iCs/>
        </w:rPr>
        <w:t>rhl</w:t>
      </w:r>
      <w:r>
        <w:t xml:space="preserve"> signal, then the strict hierarchical view might be missing an important factor affecting the overall system response.</w:t>
      </w:r>
    </w:p>
    <w:p w14:paraId="489821A4" w14:textId="77777777" w:rsidR="00CB4A85" w:rsidRDefault="00000000">
      <w:pPr>
        <w:pStyle w:val="BodyText"/>
      </w:pPr>
      <w:r>
        <w:t xml:space="preserve">Our experiments explicitly examine the influence of both QS systems on each other, and the resulting data reveal three key results. First, the traditional, strict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w:t>
      </w:r>
      <w:r>
        <w:lastRenderedPageBreak/>
        <w:t>behaviors change with changing environmental conditions. Specifically, we show that, compared to a strict hierarchy, the reciprocity we observe provides more sensitivity to population density and more robustness to interfering physical environmental variation.</w:t>
      </w:r>
    </w:p>
    <w:p w14:paraId="0F4F7B6E" w14:textId="77777777" w:rsidR="00CB4A85" w:rsidRDefault="00000000">
      <w:pPr>
        <w:pStyle w:val="Heading2"/>
      </w:pPr>
      <w:bookmarkStart w:id="4" w:name="results"/>
      <w:bookmarkEnd w:id="2"/>
      <w:r>
        <w:t>Results</w:t>
      </w:r>
    </w:p>
    <w:p w14:paraId="773EDF2F" w14:textId="77777777" w:rsidR="00CB4A85"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14:paraId="4204FF11" w14:textId="77777777" w:rsidR="00CB4A85" w:rsidRDefault="00000000">
      <w:pPr>
        <w:pStyle w:val="Heading3"/>
      </w:pPr>
      <w:bookmarkStart w:id="5" w:name="Xce1e0bc34c00202e5dbfd173496101a8b98a6fe"/>
      <w:r>
        <w:t xml:space="preserve">The </w:t>
      </w:r>
      <w:r>
        <w:rPr>
          <w:i/>
          <w:iCs/>
        </w:rPr>
        <w:t>las</w:t>
      </w:r>
      <w:r>
        <w:t xml:space="preserve"> and </w:t>
      </w:r>
      <w:r>
        <w:rPr>
          <w:i/>
          <w:iCs/>
        </w:rPr>
        <w:t>rhl</w:t>
      </w:r>
      <w:r>
        <w:t xml:space="preserve"> Systems Interact Reciprocally</w:t>
      </w:r>
    </w:p>
    <w:p w14:paraId="54BA05B8" w14:textId="77777777" w:rsidR="00CB4A85"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14:paraId="7F7A35D0" w14:textId="77777777" w:rsidR="00CB4A85" w:rsidRDefault="00000000">
      <w:pPr>
        <w:pStyle w:val="CaptionedFigure"/>
      </w:pPr>
      <w:bookmarkStart w:id="6" w:name="fig:observations"/>
      <w:r>
        <w:rPr>
          <w:noProof/>
        </w:rPr>
        <w:lastRenderedPageBreak/>
        <w:drawing>
          <wp:inline distT="0" distB="0" distL="0" distR="0" wp14:anchorId="4F9ECF20" wp14:editId="1A7CDDC9">
            <wp:extent cx="5238750" cy="3619500"/>
            <wp:effectExtent l="0" t="0" r="0" b="0"/>
            <wp:docPr id="28" name="Picture" descr="Figure 2: observations"/>
            <wp:cNvGraphicFramePr/>
            <a:graphic xmlns:a="http://schemas.openxmlformats.org/drawingml/2006/main">
              <a:graphicData uri="http://schemas.openxmlformats.org/drawingml/2006/picture">
                <pic:pic xmlns:pic="http://schemas.openxmlformats.org/drawingml/2006/picture">
                  <pic:nvPicPr>
                    <pic:cNvPr id="29"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6"/>
    <w:p w14:paraId="6208BFD4" w14:textId="77777777" w:rsidR="00CB4A85"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the time window of peak expression; dashed lines show a locally weighted regression (lowess smoothing) of the mean fold-change for each concentration value. Figures S.1 and S.2 show the underlying expression data for the entire time course of the experiments.</w:t>
      </w:r>
    </w:p>
    <w:p w14:paraId="04B4229A" w14:textId="77777777" w:rsidR="00CB4A85"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strict hierarchy with </w:t>
      </w:r>
      <w:r>
        <w:rPr>
          <w:i/>
          <w:iCs/>
        </w:rPr>
        <w:t>las</w:t>
      </w:r>
      <w:r>
        <w:t xml:space="preserve"> as the master. Here we find that the </w:t>
      </w:r>
      <w:r>
        <w:rPr>
          <w:i/>
          <w:iCs/>
        </w:rPr>
        <w:t>rhl</w:t>
      </w:r>
      <w:r>
        <w:t xml:space="preserve"> system affects the </w:t>
      </w:r>
      <w:r>
        <w:rPr>
          <w:i/>
          <w:iCs/>
        </w:rPr>
        <w:t>las</w:t>
      </w:r>
      <w:r>
        <w:t xml:space="preserve"> system.</w:t>
      </w:r>
    </w:p>
    <w:p w14:paraId="0DA027B8" w14:textId="77777777" w:rsidR="00CB4A85" w:rsidRDefault="00000000">
      <w:pPr>
        <w:pStyle w:val="BodyText"/>
      </w:pPr>
      <w:r>
        <w:t xml:space="preserve">To quantify the impact of each signal alone, we model gene expression using Michaelis-Menten kinetics under quasi-steady state assumptions (Methods), allowing us to estimate both the </w:t>
      </w:r>
      <w:r>
        <w:lastRenderedPageBreak/>
        <w:t xml:space="preserve">maximal fold-change under signal activation and sensitivity to signal (Table S.3). Our model fits (Figure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14:paraId="5420730B" w14:textId="77777777" w:rsidR="00CB4A85" w:rsidRDefault="00000000">
      <w:pPr>
        <w:pStyle w:val="BodyText"/>
      </w:pPr>
      <w:r>
        <w:t>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14:paraId="7BEA457C" w14:textId="77777777" w:rsidR="00CB4A85"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14:paraId="657893BD" w14:textId="77777777" w:rsidR="00CB4A85"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(17), one site for LasR/3‑oxo‑C</w:t>
      </w:r>
      <w:r>
        <w:rPr>
          <w:vertAlign w:val="subscript"/>
        </w:rPr>
        <w:t>12</w:t>
      </w:r>
      <w:r>
        <w:t>‑HSL and a separate site for RhlR/C</w:t>
      </w:r>
      <w:r>
        <w:rPr>
          <w:vertAlign w:val="subscript"/>
        </w:rPr>
        <w:t>4</w:t>
      </w:r>
      <w:r>
        <w:t xml:space="preserve">‑HSL. Figure 3A,B clearly shows that we cannot. The maximum expression observed, shown as a “ceiling” in that figure’s panels, far exceeds the sum of the signals’ individual influence. The </w:t>
      </w:r>
      <w:r>
        <w:lastRenderedPageBreak/>
        <w:t>presence of both signals boosts expression by as much as 30-fold beyond the level of what a simple sum would predict.</w:t>
      </w:r>
    </w:p>
    <w:p w14:paraId="5DC8B6DD" w14:textId="77777777" w:rsidR="00CB4A85" w:rsidRDefault="00000000">
      <w:pPr>
        <w:pStyle w:val="CaptionedFigure"/>
      </w:pPr>
      <w:bookmarkStart w:id="8" w:name="fig:reciprocal"/>
      <w:r>
        <w:rPr>
          <w:noProof/>
        </w:rPr>
        <w:drawing>
          <wp:inline distT="0" distB="0" distL="0" distR="0" wp14:anchorId="435535B8" wp14:editId="36FABB8C">
            <wp:extent cx="5238750" cy="3352800"/>
            <wp:effectExtent l="0" t="0" r="0" b="0"/>
            <wp:docPr id="34" name="Picture" descr="Figure 3: reciprocal"/>
            <wp:cNvGraphicFramePr/>
            <a:graphic xmlns:a="http://schemas.openxmlformats.org/drawingml/2006/main">
              <a:graphicData uri="http://schemas.openxmlformats.org/drawingml/2006/picture">
                <pic:pic xmlns:pic="http://schemas.openxmlformats.org/drawingml/2006/picture">
                  <pic:nvPicPr>
                    <pic:cNvPr id="35"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3352800"/>
                    </a:xfrm>
                    <a:prstGeom prst="rect">
                      <a:avLst/>
                    </a:prstGeom>
                    <a:noFill/>
                    <a:ln w="9525">
                      <a:noFill/>
                      <a:headEnd/>
                      <a:tailEnd/>
                    </a:ln>
                  </pic:spPr>
                </pic:pic>
              </a:graphicData>
            </a:graphic>
          </wp:inline>
        </w:drawing>
      </w:r>
    </w:p>
    <w:bookmarkEnd w:id="8"/>
    <w:p w14:paraId="6B8918C4" w14:textId="77777777" w:rsidR="00CB4A85"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a single signal alone, either 3‑oxo‑C</w:t>
      </w:r>
      <w:r>
        <w:rPr>
          <w:vertAlign w:val="subscript"/>
        </w:rPr>
        <w:t>12</w:t>
      </w:r>
      <w:r>
        <w:t>‑HSL or C</w:t>
      </w:r>
      <w:r>
        <w:rPr>
          <w:vertAlign w:val="subscript"/>
        </w:rPr>
        <w:t>4</w:t>
      </w:r>
      <w:r>
        <w:t xml:space="preserve">‑HSL, cannot account for the maximal expression of </w:t>
      </w:r>
      <w:r>
        <w:rPr>
          <w:i/>
          <w:iCs/>
        </w:rPr>
        <w:t>lasI</w:t>
      </w:r>
      <w:r>
        <w:t xml:space="preserve"> or </w:t>
      </w:r>
      <w:r>
        <w:rPr>
          <w:i/>
          <w:iCs/>
        </w:rPr>
        <w:t>rhlI.</w:t>
      </w:r>
      <w:r>
        <w:t xml:space="preserve"> The green,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S.1, parameters in Table S.3). (C,D) Multi-signal models which incorporate non-zero concentrations of both signals capture the synergistic effects of both signals and match observed expression levels.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for the models is 0.82 and 0.77, respectively. Figures S.5 and S.6 present more detailed comparisons between model and observations. (E) The multi-signal model can be represented schematically with arrows indicating the relevant influence on expresion levels. Arrow thickness is proportional to maximum fold-change contribution, and beaker height is proprotional to the half concentration values (on a logarithmic scale) for each signal.</w:t>
      </w:r>
    </w:p>
    <w:p w14:paraId="0587FCE2" w14:textId="77777777" w:rsidR="00CB4A85" w:rsidRDefault="00000000">
      <w:pPr>
        <w:pStyle w:val="BodyText"/>
      </w:pPr>
      <w:r>
        <w:t xml:space="preserve">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w:t>
      </w:r>
      <w:r>
        <w:lastRenderedPageBreak/>
        <w:t>This term accounts for any non-additive interaction, for example the ability of one bound transcription factor to recruit the binding of a second transcription factor (18).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14:paraId="2833281C" w14:textId="2037FA7F" w:rsidR="00CB4A85" w:rsidRDefault="00153AC2">
      <w:pPr>
        <w:pStyle w:val="FirstParagraph"/>
      </w:pPr>
      <w:r>
        <w:rPr>
          <w:noProof/>
        </w:rPr>
        <w:drawing>
          <wp:inline distT="0" distB="0" distL="0" distR="0" wp14:anchorId="1E91A8BD" wp14:editId="745E6290">
            <wp:extent cx="5486400" cy="2895600"/>
            <wp:effectExtent l="0" t="0" r="0" b="0"/>
            <wp:docPr id="15515380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38033" name="Graphic 1551538033"/>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14:paraId="4D9672BE" w14:textId="77777777" w:rsidR="00CB4A85"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14:paraId="1FBCC22F" w14:textId="77777777" w:rsidR="00CB4A85"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w:t>
      </w:r>
      <w:r>
        <w:lastRenderedPageBreak/>
        <w:t xml:space="preserve">graphically and revises the consensus view of Figure 1D—the </w:t>
      </w:r>
      <w:r>
        <w:rPr>
          <w:i/>
          <w:iCs/>
        </w:rPr>
        <w:t>rhl</w:t>
      </w:r>
      <w:r>
        <w:t xml:space="preserve"> system does influence the </w:t>
      </w:r>
      <w:r>
        <w:rPr>
          <w:i/>
          <w:iCs/>
        </w:rPr>
        <w:t>las</w:t>
      </w:r>
      <w:r>
        <w:t xml:space="preserve"> system—and it shows the relative magnitudes of the effects.</w:t>
      </w:r>
    </w:p>
    <w:p w14:paraId="277252C7" w14:textId="77777777" w:rsidR="00CB4A85"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14:paraId="67DE5DA1" w14:textId="77777777" w:rsidR="00CB4A85"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(19, 20) and cooperation (21–23).</w:t>
      </w:r>
    </w:p>
    <w:p w14:paraId="58BAD250" w14:textId="77777777" w:rsidR="00CB4A85" w:rsidRDefault="00000000">
      <w:pPr>
        <w:pStyle w:val="BodyText"/>
      </w:pPr>
      <w:r>
        <w:t xml:space="preserve">The prior literature provides a clear expectation that </w:t>
      </w:r>
      <w:r>
        <w:rPr>
          <w:i/>
          <w:iCs/>
        </w:rPr>
        <w:t>lasB</w:t>
      </w:r>
      <w:r>
        <w:t xml:space="preserve"> expression will be positively influenced by both AHL signal molecules (3, 24),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data highlights that </w:t>
      </w:r>
      <w:r>
        <w:rPr>
          <w:i/>
          <w:iCs/>
        </w:rPr>
        <w:t>lasB</w:t>
      </w:r>
      <w:r>
        <w:t xml:space="preserve"> expression is dominated by the synergistic combination of both signals rather than either signal in isolation. Notably, </w:t>
      </w:r>
      <w:r>
        <w:rPr>
          <w:i/>
          <w:iCs/>
        </w:rPr>
        <w:t>lasB</w:t>
      </w:r>
      <w:r>
        <w:t xml:space="preserve"> expression is more sensitive to C</w:t>
      </w:r>
      <w:r>
        <w:rPr>
          <w:vertAlign w:val="subscript"/>
        </w:rPr>
        <w:t>4</w:t>
      </w:r>
      <w:r>
        <w:t>‑HSL than to 3‑oxo‑C</w:t>
      </w:r>
      <w:r>
        <w:rPr>
          <w:vertAlign w:val="subscript"/>
        </w:rPr>
        <w:t>12</w:t>
      </w:r>
      <w:r>
        <w:t>‑HSL. (Figure 4C).</w:t>
      </w:r>
    </w:p>
    <w:p w14:paraId="12232553" w14:textId="77777777" w:rsidR="00CB4A85" w:rsidRDefault="00000000">
      <w:pPr>
        <w:pStyle w:val="CaptionedFigure"/>
      </w:pPr>
      <w:bookmarkStart w:id="10" w:name="fig:lasb"/>
      <w:r>
        <w:rPr>
          <w:noProof/>
        </w:rPr>
        <w:lastRenderedPageBreak/>
        <w:drawing>
          <wp:inline distT="0" distB="0" distL="0" distR="0" wp14:anchorId="4BF9AC52" wp14:editId="4454A40D">
            <wp:extent cx="3429000" cy="2381250"/>
            <wp:effectExtent l="0" t="0" r="0" b="0"/>
            <wp:docPr id="41" name="Picture" descr="Figure 4: lasb"/>
            <wp:cNvGraphicFramePr/>
            <a:graphic xmlns:a="http://schemas.openxmlformats.org/drawingml/2006/main">
              <a:graphicData uri="http://schemas.openxmlformats.org/drawingml/2006/picture">
                <pic:pic xmlns:pic="http://schemas.openxmlformats.org/drawingml/2006/picture">
                  <pic:nvPicPr>
                    <pic:cNvPr id="42"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3429000" cy="2381250"/>
                    </a:xfrm>
                    <a:prstGeom prst="rect">
                      <a:avLst/>
                    </a:prstGeom>
                    <a:noFill/>
                    <a:ln w="9525">
                      <a:noFill/>
                      <a:headEnd/>
                      <a:tailEnd/>
                    </a:ln>
                  </pic:spPr>
                </pic:pic>
              </a:graphicData>
            </a:graphic>
          </wp:inline>
        </w:drawing>
      </w:r>
    </w:p>
    <w:bookmarkEnd w:id="10"/>
    <w:p w14:paraId="7C4754CA" w14:textId="77777777" w:rsidR="00CB4A85"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(C) Model parameters for </w:t>
      </w:r>
      <w:r>
        <w:rPr>
          <w:i/>
          <w:iCs/>
        </w:rPr>
        <w:t>lasB</w:t>
      </w:r>
      <w:r>
        <w:t xml:space="preserve"> can be compared with those for </w:t>
      </w:r>
      <w:r>
        <w:rPr>
          <w:i/>
          <w:iCs/>
        </w:rPr>
        <w:t>lasI</w:t>
      </w:r>
      <w:r>
        <w:t xml:space="preserve"> and </w:t>
      </w:r>
      <w:r>
        <w:rPr>
          <w:i/>
          <w:iCs/>
        </w:rPr>
        <w:t>rhlI.</w:t>
      </w:r>
      <w:r>
        <w:t xml:space="preserve"> Figure S.3 shows underlying expression data for full time course of experiments; Table S.5 lists the parameter values, and Figure S.7 provides a detailed comparison of model predictions and observations.</w:t>
      </w:r>
    </w:p>
    <w:p w14:paraId="578CD413" w14:textId="77777777" w:rsidR="00CB4A85" w:rsidRDefault="00000000">
      <w:pPr>
        <w:pStyle w:val="Heading3"/>
      </w:pPr>
      <w:bookmarkStart w:id="11" w:name="X640711410c21f1b42f74977b292640e4bbbb74d"/>
      <w:bookmarkEnd w:id="9"/>
      <w:r>
        <w:t>Mathematical Models Incorporating Multi-signal Interactions Predict Quorum Sensing Response to Environmental Variation</w:t>
      </w:r>
    </w:p>
    <w:p w14:paraId="50B0BF22" w14:textId="77777777" w:rsidR="00CB4A85"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(25), diffusion (26), efficiency (27), containment (28), genotypes (22, 29), combinations (30), etc.)</w:t>
      </w:r>
    </w:p>
    <w:p w14:paraId="27A15A36" w14:textId="77777777" w:rsidR="00CB4A85"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(30–34). We assume that signal concentration increases in proportion to the corresponding synthase’s expression level, multiplied by the number of cells expressing synthase, and decreases due to a constant rate of decay and removal via mass transfer. </w:t>
      </w:r>
      <w:r>
        <w:lastRenderedPageBreak/>
        <w:t xml:space="preserve">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14:paraId="70625405" w14:textId="29B0AB60" w:rsidR="00CB4A85" w:rsidRDefault="00153AC2">
      <w:pPr>
        <w:pStyle w:val="FirstParagraph"/>
      </w:pPr>
      <w:r>
        <w:rPr>
          <w:noProof/>
        </w:rPr>
        <w:drawing>
          <wp:inline distT="0" distB="0" distL="0" distR="0" wp14:anchorId="79AB51F8" wp14:editId="60DCE4C5">
            <wp:extent cx="5486400" cy="2819400"/>
            <wp:effectExtent l="0" t="0" r="0" b="0"/>
            <wp:docPr id="182036866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68669" name="Graphic 1820368669"/>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14:paraId="073E2B25" w14:textId="77777777" w:rsidR="00CB4A85"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14:paraId="7709F07F" w14:textId="77777777" w:rsidR="00CB4A85"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signal values to QS-controlled effector </w:t>
      </w:r>
      <w:r>
        <w:lastRenderedPageBreak/>
        <w:t xml:space="preserve">behavior using our parameterized model of </w:t>
      </w:r>
      <w:r>
        <w:rPr>
          <w:i/>
          <w:iCs/>
        </w:rPr>
        <w:t>lasB</w:t>
      </w:r>
      <w:r>
        <w:t xml:space="preserve"> expression (Equation 1 as parameterized by Table S.5). Integrating these steps allows us to probe how </w:t>
      </w:r>
      <w:r>
        <w:rPr>
          <w:i/>
          <w:iCs/>
        </w:rPr>
        <w:t>lasB</w:t>
      </w:r>
      <w:r>
        <w:t xml:space="preserve"> expression varies as the social (</w:t>
      </w:r>
      <w:r>
        <w:rPr>
          <w:i/>
          <w:iCs/>
        </w:rPr>
        <w:t>N</w:t>
      </w:r>
      <w:r>
        <w:t>) and physical (</w:t>
      </w:r>
      <w:r>
        <w:rPr>
          <w:i/>
          <w:iCs/>
        </w:rPr>
        <w:t>m</w:t>
      </w:r>
      <w:r>
        <w:t>) environment changes.</w:t>
      </w:r>
    </w:p>
    <w:p w14:paraId="535C31F8" w14:textId="77777777" w:rsidR="00CB4A85" w:rsidRDefault="00000000">
      <w:pPr>
        <w:pStyle w:val="BodyText"/>
      </w:pPr>
      <w:r>
        <w:t xml:space="preserve">In Figure 5A,B we illustrate our integrated model prediction of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(35).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(35):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14:paraId="12F5DE46" w14:textId="77777777" w:rsidR="00CB4A85" w:rsidRDefault="00000000">
      <w:pPr>
        <w:pStyle w:val="CaptionedFigure"/>
      </w:pPr>
      <w:bookmarkStart w:id="12" w:name="fig:environment"/>
      <w:r>
        <w:rPr>
          <w:noProof/>
        </w:rPr>
        <w:lastRenderedPageBreak/>
        <w:drawing>
          <wp:inline distT="0" distB="0" distL="0" distR="0" wp14:anchorId="7E264D87" wp14:editId="1E7926D6">
            <wp:extent cx="5238750" cy="5238750"/>
            <wp:effectExtent l="0" t="0" r="0" b="0"/>
            <wp:docPr id="48" name="Picture" descr="Figure 5: environment"/>
            <wp:cNvGraphicFramePr/>
            <a:graphic xmlns:a="http://schemas.openxmlformats.org/drawingml/2006/main">
              <a:graphicData uri="http://schemas.openxmlformats.org/drawingml/2006/picture">
                <pic:pic xmlns:pic="http://schemas.openxmlformats.org/drawingml/2006/picture">
                  <pic:nvPicPr>
                    <pic:cNvPr id="49"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14:paraId="6E5CAC10" w14:textId="77777777" w:rsidR="00CB4A85" w:rsidRDefault="00000000">
      <w:pPr>
        <w:pStyle w:val="Caption"/>
      </w:pPr>
      <w:r>
        <w:rPr>
          <w:b/>
          <w:bCs/>
        </w:rPr>
        <w:t>Figure 5. The models of Equations 1 and 2 in combination can quantitatively predict QS-controlled responses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(36) of predicted </w:t>
      </w:r>
      <w:r>
        <w:rPr>
          <w:i/>
          <w:iCs/>
        </w:rPr>
        <w:t>lasB</w:t>
      </w:r>
      <w:r>
        <w:t xml:space="preserve"> expression level (solid line) as a function of population carrying capacity. The figure also shows independent experimental observations of </w:t>
      </w:r>
      <w:r>
        <w:rPr>
          <w:i/>
          <w:iCs/>
        </w:rPr>
        <w:t>lasB</w:t>
      </w:r>
      <w:r>
        <w:t xml:space="preserve"> expression as a function of bacterial carrying capacity, manipulated by varying the concentration of limiting carbon (35).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w:t>
      </w:r>
    </w:p>
    <w:p w14:paraId="7441CC6F" w14:textId="77777777" w:rsidR="00CB4A85" w:rsidRDefault="00000000">
      <w:pPr>
        <w:pStyle w:val="Heading3"/>
      </w:pPr>
      <w:bookmarkStart w:id="13" w:name="Xa6938a39d0945a75713dd8913666836961d703b"/>
      <w:bookmarkEnd w:id="11"/>
      <w:r>
        <w:t>Multi-Signal Architectures Govern Functional Responses to Environmental Variation</w:t>
      </w:r>
    </w:p>
    <w:p w14:paraId="1B4CAA73" w14:textId="77777777" w:rsidR="00CB4A85" w:rsidRDefault="00000000">
      <w:pPr>
        <w:pStyle w:val="FirstParagraph"/>
      </w:pPr>
      <w:r>
        <w:t xml:space="preserve">Following an initial validation of our quantitative predictions linking environmental properties to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14:paraId="6733B572" w14:textId="77777777" w:rsidR="00CB4A85"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S.8)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14:paraId="45C4D50B" w14:textId="77777777" w:rsidR="00CB4A85" w:rsidRDefault="00000000">
      <w:pPr>
        <w:pStyle w:val="BodyText"/>
      </w:pPr>
      <w:r>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w:t>
      </w:r>
      <w:r>
        <w:lastRenderedPageBreak/>
        <w:t xml:space="preserve">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14:paraId="2B2DDFCA" w14:textId="77777777" w:rsidR="00CB4A85" w:rsidRDefault="00000000">
      <w:pPr>
        <w:pStyle w:val="Heading2"/>
      </w:pPr>
      <w:bookmarkStart w:id="14" w:name="discussion"/>
      <w:bookmarkEnd w:id="4"/>
      <w:bookmarkEnd w:id="13"/>
      <w:r>
        <w:t>Discussion</w:t>
      </w:r>
    </w:p>
    <w:p w14:paraId="19EF053A" w14:textId="77777777" w:rsidR="00CB4A85" w:rsidRDefault="00000000">
      <w:pPr>
        <w:pStyle w:val="FirstParagraph"/>
      </w:pPr>
      <w:r>
        <w:t>As our knowledge of quorum sensing deepens across species, it is increasingly clear that the use of multiple QS signal molecules is the norm (e.g. </w:t>
      </w:r>
      <w:r>
        <w:rPr>
          <w:i/>
          <w:iCs/>
        </w:rPr>
        <w:t>E. coli</w:t>
      </w:r>
      <w:r>
        <w:t xml:space="preserve"> (37), </w:t>
      </w:r>
      <w:r>
        <w:rPr>
          <w:i/>
          <w:iCs/>
        </w:rPr>
        <w:t>B. subtilis</w:t>
      </w:r>
      <w:r>
        <w:t xml:space="preserve"> (38), </w:t>
      </w:r>
      <w:r>
        <w:rPr>
          <w:i/>
          <w:iCs/>
        </w:rPr>
        <w:t>P. polymyxa</w:t>
      </w:r>
      <w:r>
        <w:t xml:space="preserve"> (39), </w:t>
      </w:r>
      <w:r>
        <w:rPr>
          <w:i/>
          <w:iCs/>
        </w:rPr>
        <w:t>V. harveyi</w:t>
      </w:r>
      <w:r>
        <w:t xml:space="preserve"> (40), and </w:t>
      </w:r>
      <w:r>
        <w:rPr>
          <w:i/>
          <w:iCs/>
        </w:rPr>
        <w:t>V. cholerae</w:t>
      </w:r>
      <w:r>
        <w:t xml:space="preserve"> (41)). While this widespread design feature has been probed extensively on a molecular mechanistic scale to produce detailed intracellular “wiring diagrams” (1, 42). we still lack a general understanding of the dynamical capacities and functional sensing role(s) of these more complex architectures. In this study we use the model QS organism </w:t>
      </w:r>
      <w:r>
        <w:rPr>
          <w:i/>
          <w:iCs/>
        </w:rPr>
        <w:lastRenderedPageBreak/>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14:paraId="01A8486F" w14:textId="77777777" w:rsidR="00CB4A85"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existing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14:paraId="2FEF6CF1" w14:textId="77777777" w:rsidR="00CB4A85" w:rsidRDefault="00000000">
      <w:pPr>
        <w:pStyle w:val="BodyText"/>
      </w:pPr>
      <w:r>
        <w:t xml:space="preserve">Turning to the most common functional rationales for QS, our final parameterized model (Figure 5C-F)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(27) and combinatorial quorum sensing (30).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w:t>
      </w:r>
      <w:r>
        <w:lastRenderedPageBreak/>
        <w:t xml:space="preserve">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(30), while our current analysis additionally supports specific predictions on auto-regulation rates (stronger rates of auto-regulation for the more fragile 3‑oxo‑C</w:t>
      </w:r>
      <w:r>
        <w:rPr>
          <w:vertAlign w:val="subscript"/>
        </w:rPr>
        <w:t>12</w:t>
      </w:r>
      <w:r>
        <w:t>‑HSL signal, Table S.4).</w:t>
      </w:r>
    </w:p>
    <w:p w14:paraId="0F33303F" w14:textId="77777777" w:rsidR="00CB4A85" w:rsidRDefault="00000000">
      <w:pPr>
        <w:pStyle w:val="BodyText"/>
      </w:pPr>
      <w:r>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14:paraId="39CEA5EF" w14:textId="77777777" w:rsidR="00CB4A85" w:rsidRDefault="00000000">
      <w:pPr>
        <w:pStyle w:val="CaptionedFigure"/>
      </w:pPr>
      <w:bookmarkStart w:id="15" w:name="fig:2signals"/>
      <w:r>
        <w:rPr>
          <w:noProof/>
        </w:rPr>
        <w:lastRenderedPageBreak/>
        <w:drawing>
          <wp:inline distT="0" distB="0" distL="0" distR="0" wp14:anchorId="28D39DB6" wp14:editId="59560AE9">
            <wp:extent cx="5238750" cy="3619500"/>
            <wp:effectExtent l="0" t="0" r="0" b="0"/>
            <wp:docPr id="56" name="Picture" descr="Figure 6: 2signals"/>
            <wp:cNvGraphicFramePr/>
            <a:graphic xmlns:a="http://schemas.openxmlformats.org/drawingml/2006/main">
              <a:graphicData uri="http://schemas.openxmlformats.org/drawingml/2006/picture">
                <pic:pic xmlns:pic="http://schemas.openxmlformats.org/drawingml/2006/picture">
                  <pic:nvPicPr>
                    <pic:cNvPr id="57" name="Picture" descr="Figures/fig6_2signal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15"/>
    <w:p w14:paraId="4272B24B" w14:textId="77777777" w:rsidR="00CB4A85"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
          <w:iCs/>
        </w:rPr>
        <w:t>m</w:t>
      </w:r>
      <w:r>
        <w:t xml:space="preserve"> and population density </w:t>
      </w:r>
      <w:r>
        <w:rPr>
          <w:i/>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 S.8). Figure S.10 reports the same outputs using non-rescaled model parameters.</w:t>
      </w:r>
    </w:p>
    <w:p w14:paraId="452EB0E7" w14:textId="77777777" w:rsidR="00CB4A85" w:rsidRDefault="00000000">
      <w:pPr>
        <w:pStyle w:val="BodyText"/>
      </w:pPr>
      <w:r>
        <w:t xml:space="preserve">By focusing on extracellular signal concentration as the factor determining behavior, our approach accommodates multiple possible intracellular mechanisms of gene activation. And although they do not explicitly model specific mechanisms, our methods can suggest some mechanisms and rule out others. For example, The results shown in Figure 4 highlight a difference between the response of </w:t>
      </w:r>
      <w:r>
        <w:rPr>
          <w:i/>
          <w:iCs/>
        </w:rPr>
        <w:t>lasB</w:t>
      </w:r>
      <w:r>
        <w:t xml:space="preserve"> and that of </w:t>
      </w:r>
      <w:r>
        <w:rPr>
          <w:i/>
          <w:iCs/>
        </w:rPr>
        <w:t>lasI</w:t>
      </w:r>
      <w:r>
        <w:t xml:space="preserve"> or </w:t>
      </w:r>
      <w:r>
        <w:rPr>
          <w:i/>
          <w:iCs/>
        </w:rPr>
        <w:t>rhlI.</w:t>
      </w:r>
      <w:r>
        <w:t xml:space="preserve"> Specifically, while </w:t>
      </w:r>
      <w:r>
        <w:rPr>
          <w:i/>
          <w:iCs/>
        </w:rPr>
        <w:t>lasB</w:t>
      </w:r>
      <w:r>
        <w:t xml:space="preserve">—like </w:t>
      </w:r>
      <w:r>
        <w:rPr>
          <w:i/>
          <w:iCs/>
        </w:rPr>
        <w:t>lasI</w:t>
      </w:r>
      <w:r>
        <w:t xml:space="preserve"> and </w:t>
      </w:r>
      <w:r>
        <w:rPr>
          <w:i/>
          <w:iCs/>
        </w:rPr>
        <w:t>rhlI</w:t>
      </w:r>
      <w:r>
        <w:t>—requires both signals for maximal expression, the contribution of C</w:t>
      </w:r>
      <w:r>
        <w:rPr>
          <w:vertAlign w:val="subscript"/>
        </w:rPr>
        <w:t>4</w:t>
      </w:r>
      <w:r>
        <w:t xml:space="preserve">‑HSL </w:t>
      </w:r>
      <w:r>
        <w:rPr>
          <w:i/>
          <w:iCs/>
        </w:rPr>
        <w:t>alone</w:t>
      </w:r>
      <w:r>
        <w:t xml:space="preserve"> to its expression is negligible. Maximum expression of </w:t>
      </w:r>
      <w:r>
        <w:rPr>
          <w:i/>
          <w:iCs/>
        </w:rPr>
        <w:t>lasB</w:t>
      </w:r>
      <w:r>
        <w:t xml:space="preserve"> only increases by a factor of 1.1 (Table S.5) with the addition of C</w:t>
      </w:r>
      <w:r>
        <w:rPr>
          <w:vertAlign w:val="subscript"/>
        </w:rPr>
        <w:t>4</w:t>
      </w:r>
      <w:r>
        <w:t xml:space="preserve">‑HSL alone, in contrast to the six-fold increases for both </w:t>
      </w:r>
      <w:r>
        <w:rPr>
          <w:i/>
          <w:iCs/>
        </w:rPr>
        <w:t>lasI</w:t>
      </w:r>
      <w:r>
        <w:t xml:space="preserve"> and </w:t>
      </w:r>
      <w:r>
        <w:rPr>
          <w:i/>
          <w:iCs/>
        </w:rPr>
        <w:t>rhlI</w:t>
      </w:r>
      <w:r>
        <w:t xml:space="preserve"> </w:t>
      </w:r>
      <w:r>
        <w:lastRenderedPageBreak/>
        <w:t xml:space="preserve">(Table S.4). These results are consistent with cooperative promoter binding as a mechanism in the case of </w:t>
      </w:r>
      <w:r>
        <w:rPr>
          <w:i/>
          <w:iCs/>
        </w:rPr>
        <w:t>lasB,</w:t>
      </w:r>
      <w:r>
        <w:t xml:space="preserve"> and they preclude cooperative promoter binding as the </w:t>
      </w:r>
      <w:r>
        <w:rPr>
          <w:i/>
          <w:iCs/>
        </w:rPr>
        <w:t>sole</w:t>
      </w:r>
      <w:r>
        <w:t xml:space="preserve"> mechanism in the case of </w:t>
      </w:r>
      <w:r>
        <w:rPr>
          <w:i/>
          <w:iCs/>
        </w:rPr>
        <w:t>lasI</w:t>
      </w:r>
      <w:r>
        <w:t xml:space="preserve"> and </w:t>
      </w:r>
      <w:r>
        <w:rPr>
          <w:i/>
          <w:iCs/>
        </w:rPr>
        <w:t>rhlI.</w:t>
      </w:r>
      <w:r>
        <w:t xml:space="preserve"> They are also consistent with the results of Keegan et al. (43), who identify a RhlR promoter binding domain for </w:t>
      </w:r>
      <w:r>
        <w:rPr>
          <w:i/>
          <w:iCs/>
        </w:rPr>
        <w:t>lasB</w:t>
      </w:r>
      <w:r>
        <w:t xml:space="preserve"> but find no such domain for </w:t>
      </w:r>
      <w:r>
        <w:rPr>
          <w:i/>
          <w:iCs/>
        </w:rPr>
        <w:t>lasI.</w:t>
      </w:r>
      <w:r>
        <w:t xml:space="preserve"> More generally, our </w:t>
      </w:r>
      <w:r>
        <w:rPr>
          <w:i/>
          <w:iCs/>
        </w:rPr>
        <w:t>lasI</w:t>
      </w:r>
      <w:r>
        <w:t xml:space="preserve"> and </w:t>
      </w:r>
      <w:r>
        <w:rPr>
          <w:i/>
          <w:iCs/>
        </w:rPr>
        <w:t>rhlI</w:t>
      </w:r>
      <w:r>
        <w:t xml:space="preserve"> results raise challenges for standard additive (44) or multiplicative (18) models of gene expression as a function of multiple inputs. Neither can fully explain our results. Sauer et al. (45)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into the mechanisms of </w:t>
      </w:r>
      <w:r>
        <w:rPr>
          <w:i/>
          <w:iCs/>
        </w:rPr>
        <w:t>P. aeruginosa</w:t>
      </w:r>
      <w:r>
        <w:t xml:space="preserve"> quorum sensing interactions can provide insights into more general gene regulatory network models.</w:t>
      </w:r>
    </w:p>
    <w:p w14:paraId="2B45569A" w14:textId="77777777" w:rsidR="00CB4A85" w:rsidRDefault="00000000">
      <w:pPr>
        <w:pStyle w:val="BodyText"/>
      </w:pPr>
      <w:r>
        <w:t xml:space="preserve">Finally, we highlight that our model is not constrained to dual-signal QS, or to mutually enhancing interactions among signal systems. Figure 7 takes our two-signal </w:t>
      </w:r>
      <w:r>
        <w:rPr>
          <w:i/>
          <w:iCs/>
        </w:rPr>
        <w:t>las</w:t>
      </w:r>
      <w:r>
        <w:t>–</w:t>
      </w:r>
      <w:r>
        <w:rPr>
          <w:i/>
          <w:iCs/>
        </w:rPr>
        <w:t>rhl</w:t>
      </w:r>
      <w:r>
        <w:t xml:space="preserve"> baseline and adds a third signal module that qualitatively mirrors the </w:t>
      </w:r>
      <w:r>
        <w:rPr>
          <w:i/>
          <w:iCs/>
        </w:rPr>
        <w:t>pqs</w:t>
      </w:r>
      <w:r>
        <w:t xml:space="preserve"> system of </w:t>
      </w:r>
      <w:r>
        <w:rPr>
          <w:i/>
          <w:iCs/>
        </w:rPr>
        <w:t>P. aeruginosa</w:t>
      </w:r>
      <w:r>
        <w:t xml:space="preserve"> (__pqs_ is both induced by the </w:t>
      </w:r>
      <w:r>
        <w:rPr>
          <w:i/>
          <w:iCs/>
        </w:rPr>
        <w:t>las</w:t>
      </w:r>
      <w:r>
        <w:t xml:space="preserve"> system and repressed by the </w:t>
      </w:r>
      <w:r>
        <w:rPr>
          <w:i/>
          <w:iCs/>
        </w:rPr>
        <w:t>rhl</w:t>
      </w:r>
      <w:r>
        <w:t xml:space="preserve"> sytem and it, in turn, can induce the </w:t>
      </w:r>
      <w:r>
        <w:rPr>
          <w:i/>
          <w:iCs/>
        </w:rPr>
        <w:t>rhl</w:t>
      </w:r>
      <w:r>
        <w:t xml:space="preserve"> system (12, 46)). Figure 7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14:paraId="1E180CC4" w14:textId="77777777" w:rsidR="00CB4A85" w:rsidRDefault="00000000">
      <w:pPr>
        <w:pStyle w:val="CaptionedFigure"/>
      </w:pPr>
      <w:bookmarkStart w:id="16" w:name="fig:3signals"/>
      <w:r>
        <w:rPr>
          <w:noProof/>
        </w:rPr>
        <w:lastRenderedPageBreak/>
        <w:drawing>
          <wp:inline distT="0" distB="0" distL="0" distR="0" wp14:anchorId="54ED6489" wp14:editId="3236B815">
            <wp:extent cx="3762375" cy="3048000"/>
            <wp:effectExtent l="0" t="0" r="0" b="0"/>
            <wp:docPr id="61" name="Picture" descr="Figure 7: 3signals"/>
            <wp:cNvGraphicFramePr/>
            <a:graphic xmlns:a="http://schemas.openxmlformats.org/drawingml/2006/main">
              <a:graphicData uri="http://schemas.openxmlformats.org/drawingml/2006/picture">
                <pic:pic xmlns:pic="http://schemas.openxmlformats.org/drawingml/2006/picture">
                  <pic:nvPicPr>
                    <pic:cNvPr id="62" name="Picture" descr="Figures/fig7_3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16"/>
    <w:p w14:paraId="113A13F5" w14:textId="77777777" w:rsidR="00CB4A85"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Table S.9 lists the specific parameters used for all panels.</w:t>
      </w:r>
    </w:p>
    <w:p w14:paraId="7C1C6A94" w14:textId="77777777" w:rsidR="00CB4A85" w:rsidRDefault="00000000">
      <w:pPr>
        <w:pStyle w:val="Heading2"/>
      </w:pPr>
      <w:bookmarkStart w:id="17" w:name="methods"/>
      <w:bookmarkEnd w:id="14"/>
      <w:r>
        <w:t>Methods</w:t>
      </w:r>
    </w:p>
    <w:p w14:paraId="6931A207" w14:textId="77777777" w:rsidR="00CB4A85" w:rsidRDefault="00000000">
      <w:pPr>
        <w:pStyle w:val="Heading3"/>
      </w:pPr>
      <w:bookmarkStart w:id="18" w:name="literature-review"/>
      <w:r>
        <w:t>Literature Review</w:t>
      </w:r>
    </w:p>
    <w:p w14:paraId="3021E6E5" w14:textId="77777777" w:rsidR="00CB4A85" w:rsidRDefault="00000000">
      <w:pPr>
        <w:pStyle w:val="FirstParagraph"/>
      </w:pPr>
      <w:r>
        <w:t xml:space="preserve">The PubMed database of the US National Institutes of Health was queried on 20 July 2021 using the query </w:t>
      </w:r>
      <w:hyperlink r:id="rId23">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w:t>
      </w:r>
      <w:r>
        <w:lastRenderedPageBreak/>
        <w:t xml:space="preserve">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14:paraId="1FA3BECD" w14:textId="77777777" w:rsidR="00CB4A85" w:rsidRDefault="00000000">
      <w:pPr>
        <w:pStyle w:val="Heading3"/>
      </w:pPr>
      <w:bookmarkStart w:id="19" w:name="data-collection"/>
      <w:bookmarkEnd w:id="18"/>
      <w:r>
        <w:t>Data Collection</w:t>
      </w:r>
    </w:p>
    <w:p w14:paraId="67DB8F9E" w14:textId="77777777" w:rsidR="00CB4A85"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14:paraId="6D2195BC" w14:textId="77777777" w:rsidR="00CB4A85"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14:paraId="3C7A385F" w14:textId="77777777" w:rsidR="00CB4A85" w:rsidRDefault="00000000">
      <w:pPr>
        <w:pStyle w:val="Heading3"/>
      </w:pPr>
      <w:bookmarkStart w:id="20" w:name="data-analysis"/>
      <w:bookmarkEnd w:id="19"/>
      <w:r>
        <w:t>Data Analysis</w:t>
      </w:r>
    </w:p>
    <w:p w14:paraId="37D15DB8" w14:textId="77777777" w:rsidR="00CB4A85" w:rsidRDefault="00000000">
      <w:pPr>
        <w:pStyle w:val="FirstParagraph"/>
      </w:pPr>
      <w:r>
        <w:t xml:space="preserve">We estimated parameter values in Tables S.3, S.4, S.5, and S.6 with non-linear regression by least squares using the Gauss-Newton algorithm (47).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w:t>
      </w:r>
      <w:r>
        <w:lastRenderedPageBreak/>
        <w:t xml:space="preserve">(48).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14:paraId="76052113" w14:textId="77777777" w:rsidR="00CB4A85" w:rsidRDefault="00000000">
      <w:pPr>
        <w:pStyle w:val="BodyText"/>
      </w:pPr>
      <w:r>
        <w:t>Additional third-party modules:</w:t>
      </w:r>
    </w:p>
    <w:p w14:paraId="3DD2CFD0" w14:textId="77777777" w:rsidR="00CB4A85"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14:paraId="5B7B266B" w14:textId="77777777" w:rsidR="00CB4A85"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14:paraId="1E7DB821" w14:textId="77777777" w:rsidR="00CB4A85"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14:paraId="580D9AFC" w14:textId="77777777" w:rsidR="00CB4A85" w:rsidRDefault="00000000">
      <w:pPr>
        <w:pStyle w:val="BodyText"/>
      </w:pPr>
      <w:r>
        <w:t>Custom color schemes adapted from seaboarn.</w:t>
      </w:r>
    </w:p>
    <w:p w14:paraId="1CFF9CF3" w14:textId="77777777" w:rsidR="00CB4A85"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14:paraId="1534E33B" w14:textId="77777777" w:rsidR="00CB4A85" w:rsidRDefault="00000000">
      <w:pPr>
        <w:pStyle w:val="BodyText"/>
      </w:pPr>
      <w:r>
        <w:rPr>
          <w:b/>
          <w:bCs/>
        </w:rPr>
        <w:t>Acknowledgements:</w:t>
      </w:r>
      <w:r>
        <w:t xml:space="preserve"> We thank Steve Diggle, Marvin Whitely, Joshua Weitz and members of the Center for Microbial Dynamics and Infection (CMDI) for valuable comments and discussion on this work. This research was supported by the National Science Foundation (NSF MCB 2321502; NSF DEB 2406985) and the Army Research Office (ARO W9IINF230140).</w:t>
      </w:r>
    </w:p>
    <w:p w14:paraId="28FE16D1" w14:textId="77777777" w:rsidR="00CB4A85" w:rsidRDefault="00000000">
      <w:pPr>
        <w:pStyle w:val="Heading2"/>
      </w:pPr>
      <w:bookmarkStart w:id="21" w:name="references"/>
      <w:bookmarkEnd w:id="17"/>
      <w:bookmarkEnd w:id="20"/>
      <w:r>
        <w:t>References</w:t>
      </w:r>
    </w:p>
    <w:p w14:paraId="36BE153C" w14:textId="77777777" w:rsidR="00CB4A85" w:rsidRDefault="00000000">
      <w:pPr>
        <w:pStyle w:val="Bibliography"/>
      </w:pPr>
      <w:bookmarkStart w:id="22" w:name="ref-Papenfort2016"/>
      <w:bookmarkStart w:id="23"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14:paraId="35417950" w14:textId="77777777" w:rsidR="00CB4A85" w:rsidRDefault="00000000">
      <w:pPr>
        <w:pStyle w:val="Bibliography"/>
      </w:pPr>
      <w:bookmarkStart w:id="24" w:name="ref-Whiteley2017"/>
      <w:bookmarkEnd w:id="22"/>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14:paraId="2BD7B5B9" w14:textId="77777777" w:rsidR="00CB4A85" w:rsidRDefault="00000000">
      <w:pPr>
        <w:pStyle w:val="Bibliography"/>
      </w:pPr>
      <w:bookmarkStart w:id="25" w:name="ref-Pearson1997"/>
      <w:bookmarkEnd w:id="24"/>
      <w:r>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14:paraId="0D6354E0" w14:textId="77777777" w:rsidR="00CB4A85" w:rsidRDefault="00000000">
      <w:pPr>
        <w:pStyle w:val="Bibliography"/>
      </w:pPr>
      <w:bookmarkStart w:id="26" w:name="ref-Chugani2001"/>
      <w:bookmarkEnd w:id="25"/>
      <w:r>
        <w:lastRenderedPageBreak/>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14:paraId="36BBC09C" w14:textId="77777777" w:rsidR="00CB4A85" w:rsidRDefault="00000000">
      <w:pPr>
        <w:pStyle w:val="Bibliography"/>
      </w:pPr>
      <w:bookmarkStart w:id="27" w:name="ref-Kiratisin2002"/>
      <w:bookmarkEnd w:id="26"/>
      <w:r>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14:paraId="5BD8F317" w14:textId="77777777" w:rsidR="00CB4A85" w:rsidRDefault="00000000">
      <w:pPr>
        <w:pStyle w:val="Bibliography"/>
      </w:pPr>
      <w:bookmarkStart w:id="28" w:name="ref-Popat2015"/>
      <w:bookmarkEnd w:id="27"/>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14:paraId="2CF2B211" w14:textId="77777777" w:rsidR="00CB4A85" w:rsidRDefault="00000000">
      <w:pPr>
        <w:pStyle w:val="Bibliography"/>
      </w:pPr>
      <w:bookmarkStart w:id="29" w:name="ref-Perez2018"/>
      <w:bookmarkEnd w:id="28"/>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14:paraId="75A6018D" w14:textId="77777777" w:rsidR="00CB4A85" w:rsidRDefault="00000000">
      <w:pPr>
        <w:pStyle w:val="Bibliography"/>
      </w:pPr>
      <w:bookmarkStart w:id="30" w:name="ref-Pearson1999"/>
      <w:bookmarkEnd w:id="29"/>
      <w:r>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14:paraId="7C967415" w14:textId="77777777" w:rsidR="00CB4A85" w:rsidRDefault="00000000">
      <w:pPr>
        <w:pStyle w:val="Bibliography"/>
      </w:pPr>
      <w:bookmarkStart w:id="31" w:name="ref-Bottomley2007"/>
      <w:bookmarkEnd w:id="30"/>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14:paraId="32F03F31" w14:textId="77777777" w:rsidR="00CB4A85" w:rsidRDefault="00000000">
      <w:pPr>
        <w:pStyle w:val="Bibliography"/>
      </w:pPr>
      <w:bookmarkStart w:id="32" w:name="ref-Whiteley1999"/>
      <w:bookmarkEnd w:id="31"/>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14:paraId="45B5147D" w14:textId="77777777" w:rsidR="00CB4A85" w:rsidRDefault="00000000">
      <w:pPr>
        <w:pStyle w:val="Bibliography"/>
      </w:pPr>
      <w:bookmarkStart w:id="33" w:name="ref-Pesci1997"/>
      <w:bookmarkEnd w:id="32"/>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14:paraId="4EDFE982" w14:textId="77777777" w:rsidR="00CB4A85" w:rsidRDefault="00000000">
      <w:pPr>
        <w:pStyle w:val="Bibliography"/>
      </w:pPr>
      <w:bookmarkStart w:id="34" w:name="ref-Lee2015"/>
      <w:bookmarkEnd w:id="33"/>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14:paraId="7F0E01DB" w14:textId="77777777" w:rsidR="00CB4A85" w:rsidRDefault="00000000">
      <w:pPr>
        <w:pStyle w:val="Bibliography"/>
      </w:pPr>
      <w:bookmarkStart w:id="35" w:name="ref-Schuster2007"/>
      <w:bookmarkEnd w:id="34"/>
      <w:r>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14:paraId="576A2266" w14:textId="77777777" w:rsidR="00CB4A85" w:rsidRDefault="00000000">
      <w:pPr>
        <w:pStyle w:val="Bibliography"/>
      </w:pPr>
      <w:bookmarkStart w:id="36" w:name="ref-Latifi1996"/>
      <w:bookmarkEnd w:id="35"/>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14:paraId="1DB675DA" w14:textId="77777777" w:rsidR="00CB4A85" w:rsidRDefault="00000000">
      <w:pPr>
        <w:pStyle w:val="Bibliography"/>
      </w:pPr>
      <w:bookmarkStart w:id="37" w:name="ref-Dekimpe2009"/>
      <w:bookmarkEnd w:id="36"/>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14:paraId="7BD3FB04" w14:textId="77777777" w:rsidR="00CB4A85" w:rsidRDefault="00000000">
      <w:pPr>
        <w:pStyle w:val="Bibliography"/>
      </w:pPr>
      <w:bookmarkStart w:id="38" w:name="ref-Kostylev2019"/>
      <w:bookmarkEnd w:id="37"/>
      <w:r>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14:paraId="0E51CBF5" w14:textId="77777777" w:rsidR="00CB4A85" w:rsidRDefault="00000000">
      <w:pPr>
        <w:pStyle w:val="Bibliography"/>
      </w:pPr>
      <w:bookmarkStart w:id="39" w:name="ref-Buchler2003"/>
      <w:bookmarkEnd w:id="38"/>
      <w:r>
        <w:t xml:space="preserve">17. </w:t>
      </w:r>
      <w:r>
        <w:tab/>
        <w:t xml:space="preserve">N. Buchler, U. Gerland, T. Hwa, On schemes of combinatorial transcription logic. </w:t>
      </w:r>
      <w:r>
        <w:rPr>
          <w:i/>
          <w:iCs/>
        </w:rPr>
        <w:t>Proc Natl Acad Sci U S A</w:t>
      </w:r>
      <w:r>
        <w:t xml:space="preserve"> </w:t>
      </w:r>
      <w:r>
        <w:rPr>
          <w:b/>
          <w:bCs/>
        </w:rPr>
        <w:t>100</w:t>
      </w:r>
      <w:r>
        <w:t>, 5136–5141 (2003).</w:t>
      </w:r>
    </w:p>
    <w:p w14:paraId="730A2116" w14:textId="77777777" w:rsidR="00CB4A85" w:rsidRDefault="00000000">
      <w:pPr>
        <w:pStyle w:val="Bibliography"/>
      </w:pPr>
      <w:bookmarkStart w:id="40" w:name="ref-Kaplan2008"/>
      <w:bookmarkEnd w:id="39"/>
      <w:r>
        <w:t xml:space="preserve">18. </w:t>
      </w:r>
      <w:r>
        <w:tab/>
        <w:t xml:space="preserve">S. Kaplan, A. Bren, A. Zaslaver, E. Dekel, U. Alon, Diverse two-dimensional input functions control bacterial sugar genes. </w:t>
      </w:r>
      <w:r>
        <w:rPr>
          <w:i/>
          <w:iCs/>
        </w:rPr>
        <w:t>Mol Cell</w:t>
      </w:r>
      <w:r>
        <w:t xml:space="preserve"> </w:t>
      </w:r>
      <w:r>
        <w:rPr>
          <w:b/>
          <w:bCs/>
        </w:rPr>
        <w:t>29</w:t>
      </w:r>
      <w:r>
        <w:t>, 786–792 (2008).</w:t>
      </w:r>
    </w:p>
    <w:p w14:paraId="66A433D7" w14:textId="77777777" w:rsidR="00CB4A85" w:rsidRDefault="00000000">
      <w:pPr>
        <w:pStyle w:val="Bibliography"/>
      </w:pPr>
      <w:bookmarkStart w:id="41" w:name="ref-Casilag2016"/>
      <w:bookmarkEnd w:id="40"/>
      <w:r>
        <w:lastRenderedPageBreak/>
        <w:t xml:space="preserve">19.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14:paraId="446599B2" w14:textId="77777777" w:rsidR="00CB4A85" w:rsidRDefault="00000000">
      <w:pPr>
        <w:pStyle w:val="Bibliography"/>
      </w:pPr>
      <w:bookmarkStart w:id="42" w:name="ref-Cigana2021"/>
      <w:bookmarkEnd w:id="41"/>
      <w:r>
        <w:t xml:space="preserve">20.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14:paraId="08C60C4C" w14:textId="77777777" w:rsidR="00CB4A85" w:rsidRDefault="00000000">
      <w:pPr>
        <w:pStyle w:val="Bibliography"/>
      </w:pPr>
      <w:bookmarkStart w:id="43" w:name="ref-Diggle2007"/>
      <w:bookmarkEnd w:id="42"/>
      <w:r>
        <w:t xml:space="preserve">21. </w:t>
      </w:r>
      <w:r>
        <w:tab/>
        <w:t xml:space="preserve">S. Diggle, A. Griffin, G. Campbell, S. West, Cooperation and conflict in quorum-sensing bacterial populations. </w:t>
      </w:r>
      <w:r>
        <w:rPr>
          <w:i/>
          <w:iCs/>
        </w:rPr>
        <w:t>Nature</w:t>
      </w:r>
      <w:r>
        <w:t xml:space="preserve"> </w:t>
      </w:r>
      <w:r>
        <w:rPr>
          <w:b/>
          <w:bCs/>
        </w:rPr>
        <w:t>450</w:t>
      </w:r>
      <w:r>
        <w:t>, 411–414 (2007).</w:t>
      </w:r>
    </w:p>
    <w:p w14:paraId="30D26FCA" w14:textId="77777777" w:rsidR="00CB4A85" w:rsidRDefault="00000000">
      <w:pPr>
        <w:pStyle w:val="Bibliography"/>
      </w:pPr>
      <w:bookmarkStart w:id="44" w:name="ref-Allen2016"/>
      <w:bookmarkEnd w:id="43"/>
      <w:r>
        <w:t xml:space="preserve">22. </w:t>
      </w:r>
      <w:r>
        <w:tab/>
        <w:t xml:space="preserve">R. Allen, L. McNally, R. Popat, S. Brown, Quorum sensing protects bacterial co-operation from exploitation by cheats. </w:t>
      </w:r>
      <w:r>
        <w:rPr>
          <w:i/>
          <w:iCs/>
        </w:rPr>
        <w:t>ISME J</w:t>
      </w:r>
      <w:r>
        <w:t xml:space="preserve"> </w:t>
      </w:r>
      <w:r>
        <w:rPr>
          <w:b/>
          <w:bCs/>
        </w:rPr>
        <w:t>10</w:t>
      </w:r>
      <w:r>
        <w:t>, 1706–1716 (2016).</w:t>
      </w:r>
    </w:p>
    <w:p w14:paraId="14176A5B" w14:textId="77777777" w:rsidR="00CB4A85" w:rsidRDefault="00000000">
      <w:pPr>
        <w:pStyle w:val="Bibliography"/>
      </w:pPr>
      <w:bookmarkStart w:id="45" w:name="ref-Sexton2017"/>
      <w:bookmarkEnd w:id="44"/>
      <w:r>
        <w:t xml:space="preserve">23. </w:t>
      </w:r>
      <w:r>
        <w:tab/>
        <w:t xml:space="preserve">D. Sexton, M. Schuster, Nutrient limitation determines the fitness of cheaters in bacterial siderophore cooperation. </w:t>
      </w:r>
      <w:r>
        <w:rPr>
          <w:i/>
          <w:iCs/>
        </w:rPr>
        <w:t>Nat Commun</w:t>
      </w:r>
      <w:r>
        <w:t xml:space="preserve"> </w:t>
      </w:r>
      <w:r>
        <w:rPr>
          <w:b/>
          <w:bCs/>
        </w:rPr>
        <w:t>8</w:t>
      </w:r>
      <w:r>
        <w:t>, 230 (2017).</w:t>
      </w:r>
    </w:p>
    <w:p w14:paraId="6157F3F5" w14:textId="77777777" w:rsidR="00CB4A85" w:rsidRDefault="00000000">
      <w:pPr>
        <w:pStyle w:val="Bibliography"/>
      </w:pPr>
      <w:bookmarkStart w:id="46" w:name="ref-Nouwens2003"/>
      <w:bookmarkEnd w:id="45"/>
      <w:r>
        <w:t xml:space="preserve">24.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14:paraId="0636E21D" w14:textId="77777777" w:rsidR="00CB4A85" w:rsidRDefault="00000000">
      <w:pPr>
        <w:pStyle w:val="Bibliography"/>
      </w:pPr>
      <w:bookmarkStart w:id="47" w:name="ref-Fuqua1994"/>
      <w:bookmarkEnd w:id="46"/>
      <w:r>
        <w:t xml:space="preserve">25.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14:paraId="028D196D" w14:textId="77777777" w:rsidR="00CB4A85" w:rsidRDefault="00000000">
      <w:pPr>
        <w:pStyle w:val="Bibliography"/>
      </w:pPr>
      <w:bookmarkStart w:id="48" w:name="ref-Redfield2002"/>
      <w:bookmarkEnd w:id="47"/>
      <w:r>
        <w:t xml:space="preserve">26. </w:t>
      </w:r>
      <w:r>
        <w:tab/>
        <w:t xml:space="preserve">R. Redfield, Is quorum sensing a side effect of diffusion sensing. </w:t>
      </w:r>
      <w:r>
        <w:rPr>
          <w:i/>
          <w:iCs/>
        </w:rPr>
        <w:t>Trends Microbiol</w:t>
      </w:r>
      <w:r>
        <w:t xml:space="preserve"> </w:t>
      </w:r>
      <w:r>
        <w:rPr>
          <w:b/>
          <w:bCs/>
        </w:rPr>
        <w:t>10</w:t>
      </w:r>
      <w:r>
        <w:t>, 365–370 (2002).</w:t>
      </w:r>
    </w:p>
    <w:p w14:paraId="7A15287C" w14:textId="77777777" w:rsidR="00CB4A85" w:rsidRDefault="00000000">
      <w:pPr>
        <w:pStyle w:val="Bibliography"/>
      </w:pPr>
      <w:bookmarkStart w:id="49" w:name="ref-Hense2007"/>
      <w:bookmarkEnd w:id="48"/>
      <w:r>
        <w:t xml:space="preserve">27.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14:paraId="18BF1E9A" w14:textId="77777777" w:rsidR="00CB4A85" w:rsidRDefault="00000000">
      <w:pPr>
        <w:pStyle w:val="Bibliography"/>
      </w:pPr>
      <w:bookmarkStart w:id="50" w:name="ref-Boedicker2009"/>
      <w:bookmarkEnd w:id="49"/>
      <w:r>
        <w:t xml:space="preserve">28.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14:paraId="7705C698" w14:textId="77777777" w:rsidR="00CB4A85" w:rsidRDefault="00000000">
      <w:pPr>
        <w:pStyle w:val="Bibliography"/>
      </w:pPr>
      <w:bookmarkStart w:id="51" w:name="ref-Eldar2011"/>
      <w:bookmarkEnd w:id="50"/>
      <w:r>
        <w:t xml:space="preserve">29. </w:t>
      </w:r>
      <w:r>
        <w:tab/>
        <w:t xml:space="preserve">A. Eldar, Social conflict drives the evolutionary divergence of quorum sensing. </w:t>
      </w:r>
      <w:r>
        <w:rPr>
          <w:i/>
          <w:iCs/>
        </w:rPr>
        <w:t>Proc Natl Acad Sci U S A</w:t>
      </w:r>
      <w:r>
        <w:t xml:space="preserve"> </w:t>
      </w:r>
      <w:r>
        <w:rPr>
          <w:b/>
          <w:bCs/>
        </w:rPr>
        <w:t>108</w:t>
      </w:r>
      <w:r>
        <w:t>, 13635–13640 (2011).</w:t>
      </w:r>
    </w:p>
    <w:p w14:paraId="33A0AE74" w14:textId="77777777" w:rsidR="00CB4A85" w:rsidRDefault="00000000">
      <w:pPr>
        <w:pStyle w:val="Bibliography"/>
      </w:pPr>
      <w:bookmarkStart w:id="52" w:name="ref-Cornforth2014"/>
      <w:bookmarkEnd w:id="51"/>
      <w:r>
        <w:t xml:space="preserve">30.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14:paraId="36516DEF" w14:textId="77777777" w:rsidR="00CB4A85" w:rsidRDefault="00000000">
      <w:pPr>
        <w:pStyle w:val="Bibliography"/>
      </w:pPr>
      <w:bookmarkStart w:id="53" w:name="ref-James2000"/>
      <w:bookmarkEnd w:id="52"/>
      <w:r>
        <w:t xml:space="preserve">31.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14:paraId="6CF342D6" w14:textId="77777777" w:rsidR="00CB4A85" w:rsidRDefault="00000000">
      <w:pPr>
        <w:pStyle w:val="Bibliography"/>
      </w:pPr>
      <w:bookmarkStart w:id="54" w:name="ref-Dockery2001"/>
      <w:bookmarkEnd w:id="53"/>
      <w:r>
        <w:t xml:space="preserve">32.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14:paraId="4B5803DA" w14:textId="77777777" w:rsidR="00CB4A85" w:rsidRDefault="00000000">
      <w:pPr>
        <w:pStyle w:val="Bibliography"/>
      </w:pPr>
      <w:bookmarkStart w:id="55" w:name="ref-Ward2001"/>
      <w:bookmarkEnd w:id="54"/>
      <w:r>
        <w:t xml:space="preserve">33.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14:paraId="0A98A2A2" w14:textId="77777777" w:rsidR="00CB4A85" w:rsidRDefault="00000000">
      <w:pPr>
        <w:pStyle w:val="Bibliography"/>
      </w:pPr>
      <w:bookmarkStart w:id="56" w:name="ref-Brown2013"/>
      <w:bookmarkEnd w:id="55"/>
      <w:r>
        <w:lastRenderedPageBreak/>
        <w:t xml:space="preserve">34. </w:t>
      </w:r>
      <w:r>
        <w:tab/>
        <w:t xml:space="preserve">D. Brown, Linking molecular and population processes in mathematical models of quorum sensing. </w:t>
      </w:r>
      <w:r>
        <w:rPr>
          <w:i/>
          <w:iCs/>
        </w:rPr>
        <w:t>Bull Math Biol</w:t>
      </w:r>
      <w:r>
        <w:t xml:space="preserve"> </w:t>
      </w:r>
      <w:r>
        <w:rPr>
          <w:b/>
          <w:bCs/>
        </w:rPr>
        <w:t>75</w:t>
      </w:r>
      <w:r>
        <w:t>, 1813–1839 (2013).</w:t>
      </w:r>
    </w:p>
    <w:p w14:paraId="1CA3CB90" w14:textId="77777777" w:rsidR="00CB4A85" w:rsidRDefault="00000000">
      <w:pPr>
        <w:pStyle w:val="Bibliography"/>
      </w:pPr>
      <w:bookmarkStart w:id="57" w:name="ref-Rattray2022"/>
      <w:bookmarkEnd w:id="56"/>
      <w:r>
        <w:t xml:space="preserve">35.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14:paraId="52C51B51" w14:textId="77777777" w:rsidR="00CB4A85" w:rsidRDefault="00000000">
      <w:pPr>
        <w:pStyle w:val="Bibliography"/>
      </w:pPr>
      <w:bookmarkStart w:id="58" w:name="ref-Stearns1989"/>
      <w:bookmarkEnd w:id="57"/>
      <w:r>
        <w:t xml:space="preserve">36. </w:t>
      </w:r>
      <w:r>
        <w:tab/>
        <w:t xml:space="preserve">S. Stearns, The evolutionary significance of phenotypic plasticity. </w:t>
      </w:r>
      <w:r>
        <w:rPr>
          <w:i/>
          <w:iCs/>
        </w:rPr>
        <w:t>Bioscience</w:t>
      </w:r>
      <w:r>
        <w:t xml:space="preserve"> (1989).</w:t>
      </w:r>
    </w:p>
    <w:p w14:paraId="6EB5E19E" w14:textId="77777777" w:rsidR="00CB4A85" w:rsidRDefault="00000000">
      <w:pPr>
        <w:pStyle w:val="Bibliography"/>
      </w:pPr>
      <w:bookmarkStart w:id="59" w:name="ref-Mayer2023"/>
      <w:bookmarkEnd w:id="58"/>
      <w:r>
        <w:t xml:space="preserve">37.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14:paraId="529D5984" w14:textId="77777777" w:rsidR="00CB4A85" w:rsidRDefault="00000000">
      <w:pPr>
        <w:pStyle w:val="Bibliography"/>
      </w:pPr>
      <w:bookmarkStart w:id="60" w:name="ref-Auchtung2006"/>
      <w:bookmarkEnd w:id="59"/>
      <w:r>
        <w:t xml:space="preserve">38. </w:t>
      </w:r>
      <w:r>
        <w:tab/>
        <w:t xml:space="preserve">J. Auchtung, C. Lee, A. Grossman, Modulation of the ComA-dependent quorum response in bacillus subtilis by multiple rap proteins and phr peptides. </w:t>
      </w:r>
      <w:r>
        <w:rPr>
          <w:i/>
          <w:iCs/>
        </w:rPr>
        <w:t>J Bacteriol</w:t>
      </w:r>
      <w:r>
        <w:t xml:space="preserve"> </w:t>
      </w:r>
      <w:r>
        <w:rPr>
          <w:b/>
          <w:bCs/>
        </w:rPr>
        <w:t>188</w:t>
      </w:r>
      <w:r>
        <w:t>, 5273–5285 (2006).</w:t>
      </w:r>
    </w:p>
    <w:p w14:paraId="7980052D" w14:textId="77777777" w:rsidR="00CB4A85" w:rsidRDefault="00000000">
      <w:pPr>
        <w:pStyle w:val="Bibliography"/>
      </w:pPr>
      <w:bookmarkStart w:id="61" w:name="ref-Voichek2020"/>
      <w:bookmarkEnd w:id="60"/>
      <w:r>
        <w:t xml:space="preserve">39.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14:paraId="3F538296" w14:textId="77777777" w:rsidR="00CB4A85" w:rsidRDefault="00000000">
      <w:pPr>
        <w:pStyle w:val="Bibliography"/>
      </w:pPr>
      <w:bookmarkStart w:id="62" w:name="ref-Henke2004"/>
      <w:bookmarkEnd w:id="61"/>
      <w:r>
        <w:t xml:space="preserve">40. </w:t>
      </w:r>
      <w:r>
        <w:tab/>
        <w:t xml:space="preserve">J. Henke, B. Bassler, Three parallel quorum-sensing systems regulate gene expression in vibrio harveyi. </w:t>
      </w:r>
      <w:r>
        <w:rPr>
          <w:i/>
          <w:iCs/>
        </w:rPr>
        <w:t>J Bacteriol</w:t>
      </w:r>
      <w:r>
        <w:t xml:space="preserve"> </w:t>
      </w:r>
      <w:r>
        <w:rPr>
          <w:b/>
          <w:bCs/>
        </w:rPr>
        <w:t>186</w:t>
      </w:r>
      <w:r>
        <w:t>, 6902–6914 (2004).</w:t>
      </w:r>
    </w:p>
    <w:p w14:paraId="01C59C46" w14:textId="77777777" w:rsidR="00CB4A85" w:rsidRDefault="00000000">
      <w:pPr>
        <w:pStyle w:val="Bibliography"/>
      </w:pPr>
      <w:bookmarkStart w:id="63" w:name="ref-Bridges2019"/>
      <w:bookmarkEnd w:id="62"/>
      <w:r>
        <w:t xml:space="preserve">41.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14:paraId="1508CC80" w14:textId="77777777" w:rsidR="00CB4A85" w:rsidRDefault="00000000">
      <w:pPr>
        <w:pStyle w:val="Bibliography"/>
      </w:pPr>
      <w:bookmarkStart w:id="64" w:name="ref-Mok2003"/>
      <w:bookmarkEnd w:id="63"/>
      <w:r>
        <w:t xml:space="preserve">42.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14:paraId="0D99FE48" w14:textId="77777777" w:rsidR="00CB4A85" w:rsidRDefault="00000000">
      <w:pPr>
        <w:pStyle w:val="Bibliography"/>
      </w:pPr>
      <w:bookmarkStart w:id="65" w:name="ref-Keegan2023"/>
      <w:bookmarkEnd w:id="64"/>
      <w:r>
        <w:t xml:space="preserve">43. </w:t>
      </w:r>
      <w:r>
        <w:tab/>
        <w:t xml:space="preserve">N. R. Keegan, </w:t>
      </w:r>
      <w:r>
        <w:rPr>
          <w:i/>
          <w:iCs/>
        </w:rPr>
        <w:t>et al.</w:t>
      </w:r>
      <w:r>
        <w:t xml:space="preserve">, Promoter selectivity of the RhlR quorum-sensing transcription factor receptor in pseudomonas aeruginosa is coordinated by distinct and overlapping dependencies on C4-homoserine lactone and PqsE. </w:t>
      </w:r>
      <w:r>
        <w:rPr>
          <w:i/>
          <w:iCs/>
        </w:rPr>
        <w:t>PLoS Genet</w:t>
      </w:r>
      <w:r>
        <w:t xml:space="preserve"> </w:t>
      </w:r>
      <w:r>
        <w:rPr>
          <w:b/>
          <w:bCs/>
        </w:rPr>
        <w:t>19</w:t>
      </w:r>
      <w:r>
        <w:t>, e1010900 (2023).</w:t>
      </w:r>
    </w:p>
    <w:p w14:paraId="67BCC7FA" w14:textId="77777777" w:rsidR="00CB4A85" w:rsidRDefault="00000000">
      <w:pPr>
        <w:pStyle w:val="Bibliography"/>
      </w:pPr>
      <w:bookmarkStart w:id="66" w:name="ref-Long2009"/>
      <w:bookmarkEnd w:id="65"/>
      <w:r>
        <w:t xml:space="preserve">44.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14:paraId="5050A806" w14:textId="77777777" w:rsidR="00CB4A85" w:rsidRDefault="00000000">
      <w:pPr>
        <w:pStyle w:val="Bibliography"/>
      </w:pPr>
      <w:bookmarkStart w:id="67" w:name="ref-Sauer1995"/>
      <w:bookmarkEnd w:id="66"/>
      <w:r>
        <w:t xml:space="preserve">45. </w:t>
      </w:r>
      <w:r>
        <w:tab/>
        <w:t xml:space="preserve">F. Sauer, S. Hansen, R. Tjian, Multiple TAFIIs directing synergistic activation of transcription. </w:t>
      </w:r>
      <w:r>
        <w:rPr>
          <w:i/>
          <w:iCs/>
        </w:rPr>
        <w:t>Science</w:t>
      </w:r>
      <w:r>
        <w:t xml:space="preserve"> </w:t>
      </w:r>
      <w:r>
        <w:rPr>
          <w:b/>
          <w:bCs/>
        </w:rPr>
        <w:t>270</w:t>
      </w:r>
      <w:r>
        <w:t>, 1783–1788 (1995).</w:t>
      </w:r>
    </w:p>
    <w:p w14:paraId="414ABEBA" w14:textId="77777777" w:rsidR="00CB4A85" w:rsidRDefault="00000000">
      <w:pPr>
        <w:pStyle w:val="Bibliography"/>
      </w:pPr>
      <w:bookmarkStart w:id="68" w:name="ref-McGrath2004"/>
      <w:bookmarkEnd w:id="67"/>
      <w:r>
        <w:t xml:space="preserve">46.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14:paraId="6B83C986" w14:textId="77777777" w:rsidR="00CB4A85" w:rsidRDefault="00000000">
      <w:pPr>
        <w:pStyle w:val="Bibliography"/>
      </w:pPr>
      <w:bookmarkStart w:id="69" w:name="ref-Ratkowsky1983"/>
      <w:bookmarkEnd w:id="68"/>
      <w:r>
        <w:t xml:space="preserve">47. </w:t>
      </w:r>
      <w:r>
        <w:tab/>
        <w:t xml:space="preserve">D. A. Ratkowsky, </w:t>
      </w:r>
      <w:r>
        <w:rPr>
          <w:i/>
          <w:iCs/>
        </w:rPr>
        <w:t>Nonlinear regression modeling: A unified practical approach</w:t>
      </w:r>
      <w:r>
        <w:t xml:space="preserve"> (Marcel Dekker Incorporated, 1983).</w:t>
      </w:r>
    </w:p>
    <w:p w14:paraId="39D6FF5C" w14:textId="77777777" w:rsidR="00CB4A85" w:rsidRDefault="00000000">
      <w:pPr>
        <w:pStyle w:val="Bibliography"/>
      </w:pPr>
      <w:bookmarkStart w:id="70" w:name="ref-Powell1968"/>
      <w:bookmarkEnd w:id="69"/>
      <w:r>
        <w:t xml:space="preserve">48. </w:t>
      </w:r>
      <w:r>
        <w:tab/>
        <w:t>M. J. Powell, A fortran subroutine for solving systems of nonlinear algebraic equations. (1968).</w:t>
      </w:r>
      <w:bookmarkEnd w:id="0"/>
      <w:bookmarkEnd w:id="21"/>
      <w:bookmarkEnd w:id="23"/>
      <w:bookmarkEnd w:id="70"/>
    </w:p>
    <w:sectPr w:rsidR="00CB4A85"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11B01022"/>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3A342F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766415717">
    <w:abstractNumId w:val="0"/>
  </w:num>
  <w:num w:numId="3" w16cid:durableId="19445344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153AC2"/>
    <w:rsid w:val="004449AC"/>
    <w:rsid w:val="007D0AF9"/>
    <w:rsid w:val="00806A02"/>
    <w:rsid w:val="00A20EEA"/>
    <w:rsid w:val="00A22164"/>
    <w:rsid w:val="00A644EF"/>
    <w:rsid w:val="00B1321B"/>
    <w:rsid w:val="00B301F9"/>
    <w:rsid w:val="00B96944"/>
    <w:rsid w:val="00C746F5"/>
    <w:rsid w:val="00CB4A85"/>
    <w:rsid w:val="00D220FA"/>
    <w:rsid w:val="00D6041C"/>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AFE56"/>
  <w15:docId w15:val="{42EFF847-EC81-9244-8EEC-D9759BF2D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27</Pages>
  <Words>7295</Words>
  <Characters>41587</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2025-01-25T19:31:00Z</dcterms:created>
  <dcterms:modified xsi:type="dcterms:W3CDTF">2025-01-25T19:36:00Z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